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800"/>
        <w:jc w:val="center"/>
      </w:pPr>
      <w:r>
        <w:rPr>
          <w:b/>
          <w:bCs/>
          <w:color w:val="00aac2"/>
          <w:sz w:val="60"/>
          <w:szCs w:val="60"/>
        </w:rPr>
        <w:t xml:space="preserve">BSI-Grundschutz</w:t>
      </w:r>
    </w:p>
    <w:p>
      <w:pPr>
        <w:spacing w:before="120"/>
        <w:jc w:val="center"/>
      </w:pPr>
      <w:r>
        <w:rPr>
          <w:b/>
          <w:bCs/>
          <w:color w:val="1A1A1A"/>
          <w:sz w:val="36"/>
          <w:szCs w:val="36"/>
        </w:rPr>
        <w:t xml:space="preserve">Audit-Checkliste für KMU</w:t>
      </w:r>
    </w:p>
    <w:p>
      <w:pPr>
        <w:spacing w:before="600"/>
        <w:jc w:val="center"/>
      </w:pPr>
      <w:r>
        <w:rPr>
          <w:i/>
          <w:iCs/>
          <w:color w:val="666666"/>
          <w:sz w:val="22"/>
          <w:szCs w:val="22"/>
        </w:rPr>
        <w:t xml:space="preserve">Basierend auf dem IT-Grundschutz-Kompendium des BSI</w:t>
      </w:r>
    </w:p>
    <w:p>
      <w:pPr>
        <w:spacing w:before="120"/>
        <w:jc w:val="center"/>
      </w:pPr>
      <w:r>
        <w:rPr>
          <w:color w:val="666666"/>
          <w:sz w:val="22"/>
          <w:szCs w:val="22"/>
        </w:rPr>
        <w:t xml:space="preserve">60 prüfbare Maßnahmen für ein Basis-Audit Ihrer IT-Infrastruktur</w:t>
      </w:r>
    </w:p>
    <w:p>
      <w:pPr>
        <w:spacing w:before="1800"/>
        <w:jc w:val="center"/>
      </w:pPr>
      <w:r>
        <w:rPr>
          <w:color w:val="888888"/>
          <w:sz w:val="20"/>
          <w:szCs w:val="20"/>
        </w:rPr>
        <w:t xml:space="preserve">Stand: Mai 2026 · Version 1.0</w:t>
      </w:r>
    </w:p>
    <w:p>
      <w:pPr>
        <w:spacing w:before="120"/>
        <w:jc w:val="center"/>
      </w:pPr>
      <w:r>
        <w:rPr>
          <w:color w:val="888888"/>
          <w:sz w:val="20"/>
          <w:szCs w:val="20"/>
        </w:rPr>
        <w:t xml:space="preserve">Bereitgestellt von Sat-iTec Systemhaus GmbH</w:t>
      </w:r>
    </w:p>
    <w:p>
      <w:pPr>
        <w:spacing w:before="60"/>
        <w:jc w:val="center"/>
      </w:pPr>
      <w:hyperlink w:history="1" r:id="rIdesvk54v7ircjthpdfvieu">
        <w:r>
          <w:rPr>
            <w:color w:val="00aac2"/>
            <w:sz w:val="20"/>
            <w:szCs w:val="20"/>
            <w:u w:val="single"/>
          </w:rPr>
          <w:t xml:space="preserve">itnetwork-docu.com</w:t>
        </w:r>
      </w:hyperlink>
    </w:p>
    <w:p>
      <w:r>
        <w:br w:type="page"/>
      </w:r>
    </w:p>
    <w:p>
      <w:pPr>
        <w:pStyle w:val="Heading1"/>
      </w:pPr>
      <w:r>
        <w:t xml:space="preserve">Anleitung</w:t>
      </w:r>
    </w:p>
    <w:p>
      <w:pPr>
        <w:spacing w:after="120"/>
      </w:pPr>
      <w:r>
        <w:rPr>
          <w:sz w:val="22"/>
          <w:szCs w:val="22"/>
        </w:rPr>
        <w:t xml:space="preserve">Diese Checkliste deckt die wichtigsten Bausteine des BSI IT-Grundschutz-Kompendiums (Edition 2023) für ein KMU-Audit ab. Sie ersetzt keine umfassende Risikoanalyse nach BSI-Standard 200-2, kann aber als Vorbereitung für ein Audit, eine Bestandsaufnahme oder eine ISO-27001-Vorbereitung verwendet werden.</w:t>
      </w:r>
    </w:p>
    <w:p>
      <w:pPr>
        <w:pStyle w:val="Heading2"/>
      </w:pPr>
      <w:r>
        <w:t xml:space="preserve">So nutzen Sie die Checkliste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Drucken Sie die Liste aus oder bearbeiten Sie sie direkt im Word-Dokument.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Kreuzen Sie pro Prüfpunkt an: J = Ja (erfüllt), T = teilweise erfüllt, N = nicht erfüllt / nicht anwendbar.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Notieren Sie offene Punkte und planen Sie Maßnahmen mit Verantwortlichen und Frist.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Wiederholen Sie das Audit jährlich oder nach größeren Infrastruktur-Änderungen.</w:t>
      </w:r>
    </w:p>
    <w:p>
      <w:pPr>
        <w:pStyle w:val="Heading2"/>
      </w:pPr>
      <w:r>
        <w:t xml:space="preserve">Wofür die BSI-Bausteine-Spalte?</w:t>
      </w:r>
    </w:p>
    <w:p>
      <w:r>
        <w:rPr>
          <w:sz w:val="22"/>
          <w:szCs w:val="22"/>
        </w:rPr>
        <w:t xml:space="preserve">Die Spalte verweist auf den jeweiligen Baustein des IT-Grundschutz-Kompendiums (z. B. CON.1 = Kryptokonzept, OPS.1.1.3 = Patchen, NET.1.2 = Netzmanagement). Bei Vertragsausschreibungen, Versicherern oder Auditoren können Sie damit die Konformitätsprüfung nachvollziehbar machen.</w:t>
      </w:r>
    </w:p>
    <w:p>
      <w:pPr>
        <w:pStyle w:val="Heading2"/>
      </w:pPr>
      <w:r>
        <w:t xml:space="preserve">Tipp: Automatisieren Sie das Inventar</w:t>
      </w:r>
    </w:p>
    <w:p>
      <w:r>
        <w:rPr>
          <w:sz w:val="22"/>
          <w:szCs w:val="22"/>
        </w:rPr>
        <w:t xml:space="preserve">Etwa 70 % der Prüfpunkte (Hardware-Inventar, Software-Stand, AD-Berechtigungen, Server-Rollen, NFS-Shares, Patchstand) lassen sich automatisch aus einem Netzwerk-Audit-Tool ableiten. </w:t>
      </w:r>
      <w:hyperlink w:history="1" r:id="rIdohaha6q1isaultw0yguqq">
        <w:r>
          <w:rPr>
            <w:color w:val="00aac2"/>
            <w:sz w:val="22"/>
            <w:szCs w:val="22"/>
            <w:u w:val="single"/>
          </w:rPr>
          <w:t xml:space="preserve">ITscanner</w:t>
        </w:r>
      </w:hyperlink>
      <w:r>
        <w:rPr>
          <w:sz w:val="22"/>
          <w:szCs w:val="22"/>
        </w:rPr>
        <w:t xml:space="preserve"> ist eine deutsche Open-Core-Lösung mit Flat-Rate-Lizenz (49,50 € netto/Jahr) und liefert genau diese Daten als Bericht oder Excel-Export. 14 Tage kostenlos testen, ohne Cloud, ohne Asset-Pricing.</w:t>
      </w:r>
    </w:p>
    <w:p>
      <w:r>
        <w:br w:type="page"/>
      </w:r>
    </w:p>
    <w:p>
      <w:pPr>
        <w:pStyle w:val="Heading2"/>
        <w:spacing w:after="120" w:before="360"/>
      </w:pPr>
      <w:r>
        <w:rPr>
          <w:b/>
          <w:bCs/>
        </w:rPr>
        <w:t xml:space="preserve">1. Sicherheitsorganisation (ISMS.1)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ISMS.1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Es existiert eine schriftlich dokumentierte IT-Sicherheitsleitlinie, die von der Geschäftsführung freigegeben ist.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ISMS.1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Ein IT-Sicherheitsbeauftragter (ISB) ist benannt und der gesamten Organisation bekannt.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ISMS.1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Sicherheitsvorfälle werden in einem zentralen Register erfasst (Datum, Auswirkung, Maßnahme, Lessons-Learned).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ORP.2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Mitarbeiter werden mindestens jährlich zu IT-Sicherheit, Phishing und Datenschutz geschult.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Nachweis pro Person + Datum aufbewahren.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1.5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ORP.3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Bei Eintritt, Wechsel und Austritt von Mitarbeitern werden Zugriffsrechte dokumentiert angepasst.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1.6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ORP.4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Externe Dienstleister haben unterschriebene Vertraulichkeitsvereinbarungen (NDA).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pPr>
        <w:pStyle w:val="Heading2"/>
        <w:spacing w:after="120" w:before="360"/>
      </w:pPr>
      <w:r>
        <w:rPr>
          <w:b/>
          <w:bCs/>
        </w:rPr>
        <w:t xml:space="preserve">2. Inventarisierung &amp; Asset-Management (CON.7)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2.1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CON.7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Es existiert ein vollständiges Inventar aller Hardware-Assets (Server, Workstations, Drucker, Netzwerkkomponenten) inklusive Hersteller, Modell, Seriennummer, Standort.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Tab 'Hosts' liefert dies via WMI/CIM-Scan.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2.2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CON.7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Es existiert ein Inventar aller installierten Software-Pakete inklusive Version und Installationsdatum.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Tab 'Software' (agentless WMI-Scan) inklusive Excel-Export.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2.3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CON.7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Lizenzschlüssel und Aktivierungsstatus für kommerzielle Software werden zentral verwaltet.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Tab 'Lizenzen' aus Win32_SoftwareLicensingProduct.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2.4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CON.7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Das Inventar wird mindestens vierteljährlich aktualisiert.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2.5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CON.7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Geräte ohne klaren Geschäftszweck werden identifiziert und stillgelegt oder dokumentiert.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pPr>
        <w:pStyle w:val="Heading2"/>
        <w:spacing w:after="120" w:before="360"/>
      </w:pPr>
      <w:r>
        <w:rPr>
          <w:b/>
          <w:bCs/>
        </w:rPr>
        <w:t xml:space="preserve">3. Identitätsmanagement &amp; Active Directory (ORP.4, APP.2.2)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3.1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ORP.4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Es existiert ein Konzept für rollenbasierte Zugriffsrechte (RBAC). Jede Rolle hat dokumentierte Berechtigungen.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AD-Tab listet Gruppen, Mitglieder und OU-Hierarchie.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3.2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APP.2.2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Domain-Admin- und Schema-Admin-Konten werden ausschließlich für administrative Tätigkeiten verwendet (kein E-Mail/Web-Browsing).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3.3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APP.2.2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Inaktive Benutzerkonten (kein Login &gt; 90 Tage) werden regelmäßig identifiziert und deaktiviert.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AD-Audit zeigt 'lastLogonTimestamp' pro User.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3.4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APP.2.2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Passwort-Richtlinie: mindestens 12 Zeichen, Komplexität, max. 90 Tage Gültigkeit für Admin-Konten.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3.5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APP.2.2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Multi-Faktor-Authentifizierung (MFA) ist für alle privilegierten Konten und externen Zugänge aktiviert.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3.6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APP.2.2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Lokale Administrator-Passwörter sind individuell pro Gerät (LAPS oder vergleichbar).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3.7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APP.2.2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Es existieren mindestens zwei Domain-Controller (Redundanz).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BSI-Bericht warnt bei nur 1 DC.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pPr>
        <w:pStyle w:val="Heading2"/>
        <w:spacing w:after="120" w:before="360"/>
      </w:pPr>
      <w:r>
        <w:rPr>
          <w:b/>
          <w:bCs/>
        </w:rPr>
        <w:t xml:space="preserve">4. Patch-Management &amp; End-of-Life-Systeme (OPS.1.1.3)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4.1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OPS.1.1.3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Sicherheitsupdates für Betriebssysteme werden binnen 14 Tagen nach Verfügbarkeit eingespielt.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4.2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OPS.1.1.3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Es existieren keine produktiv genutzten End-of-Life-Systeme (Windows 7, Server 2008/2012 etc.) ohne dokumentierte Risikoabnahme.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BSI-Bericht markiert EOL-OS automatisch.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4.3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OPS.1.1.3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Drittanbieter-Software (Browser, PDF-Reader, Office) wird ebenfalls regelmäßig gepatcht.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4.4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OPS.1.1.3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Vor Patches gibt es eine Test-Phase auf nicht-produktiven Systemen.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4.5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OPS.1.1.3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Patch-Status wird zentral überwacht und dokumentiert.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pPr>
        <w:pStyle w:val="Heading2"/>
        <w:spacing w:after="120" w:before="360"/>
      </w:pPr>
      <w:r>
        <w:rPr>
          <w:b/>
          <w:bCs/>
        </w:rPr>
        <w:t xml:space="preserve">5. Netzwerk-Sicherheit (NET.1.1, NET.1.2)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5.1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NET.1.1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Das Netzwerk ist segmentiert: separate VLANs/Subnetze für Server, Clients, Gäste, Drucker.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Tab 'Subnetze' liefert eine Übersicht aktiver IP-Bereiche.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5.2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NET.1.1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Nicht benötigte Netzwerk-Dienste sind auf allen Hosts deaktiviert (Telnet, FTP unverschlüsselt, SMBv1).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5.3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NET.1.1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Offene Ports werden regelmäßig per Port-Scan überprüft.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führt automatischen Port-Probe für RDP/SSH/SMB/NFS durch.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5.4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NET.1.2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Eine Firewall trennt internes Netz vom Internet, mit dokumentiertem Regelwerk.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5.5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NET.1.2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VPN-Zugänge sind ausschließlich mit MFA und nicht ungeschützt aus dem Internet erreichbar.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5.6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NET.1.2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Externe RDP-Zugänge (TCP 3389) sind grundsätzlich nicht aus dem Internet erreichbar.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BSI-Bericht warnt bei sichtbaren RDP-Ports.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pPr>
        <w:pStyle w:val="Heading2"/>
        <w:spacing w:after="120" w:before="360"/>
      </w:pPr>
      <w:r>
        <w:rPr>
          <w:b/>
          <w:bCs/>
        </w:rPr>
        <w:t xml:space="preserve">6. Backup &amp; Wiederherstellung (CON.3, OPS.1.1.5)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6.1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Eine Backup-Software ist auf allen kritischen Servern installiert und aktiv.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Tab 'Software' zeigt Backup-Tools (Veeam, Bareos, Acronis u.a.).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6.2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Es existiert ein dokumentiertes Backup-Konzept mit RPO und RTO pro Geschäftsfunktion.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6.3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Mindestens eine Backup-Kopie liegt offline / off-site (3-2-1-Regel).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6.4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Backup-Restore wird mindestens halbjährlich auf Test-Systemen durchgespielt.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6.5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OPS.1.1.5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Datenbank-Backups (SQL Server, MariaDB, PostgreSQL) sind separat konfiguriert und konsistent.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6.6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CON.3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Backups sind verschlüsselt, sowohl in Transit als auch at rest.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pPr>
        <w:pStyle w:val="Heading2"/>
        <w:spacing w:after="120" w:before="360"/>
      </w:pPr>
      <w:r>
        <w:rPr>
          <w:b/>
          <w:bCs/>
        </w:rPr>
        <w:t xml:space="preserve">7. Logging &amp; Monitoring (DER.1, OPS.1.1.6)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7.1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DER.1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Sicherheitsrelevante Ereignisse (Login-Fehlversuche, Privilegien-Änderungen, AD-Änderungen) werden zentral geloggt.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7.2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DER.1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Logs werden mindestens 12 Monate aufbewahrt (für DSGVO-Nachweispflichten ggf. länger).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7.3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DER.1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Logs werden mindestens wöchentlich auf Auffälligkeiten geprüft (manuell oder per SIEM/Alerting).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7.4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DER.1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Verfügbarkeit kritischer Server wird per Monitoring überwacht (z. B. Nagios, Zabbix, Checkmk).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pPr>
        <w:pStyle w:val="Heading2"/>
        <w:spacing w:after="120" w:before="360"/>
      </w:pPr>
      <w:r>
        <w:rPr>
          <w:b/>
          <w:bCs/>
        </w:rPr>
        <w:t xml:space="preserve">8. Endpoint-Sicherheit (SYS.2.1, SYS.2.2)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8.1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SYS.2.1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Auf allen Windows-Endgeräten ist ein aktueller Antivirus / EDR aktiv (Defender AV oder Drittanbieter).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8.2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SYS.2.1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Festplatten-Verschlüsselung (BitLocker / LUKS) ist auf Notebooks und mobilen Geräten aktiv.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8.3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SYS.2.1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USB-Datenträger sind durch Endpoint-Policy auf 'read-only' oder gar nicht erlaubt.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8.4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SYS.2.2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Mobile Geräte (Smartphones, Tablets) werden über MDM verwaltet und können remote gelöscht werden.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pPr>
        <w:pStyle w:val="Heading2"/>
        <w:spacing w:after="120" w:before="360"/>
      </w:pPr>
      <w:r>
        <w:rPr>
          <w:b/>
          <w:bCs/>
        </w:rPr>
        <w:t xml:space="preserve">9. Datei-Server &amp; Berechtigungen (APP.3.3, ORP.4)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9.1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APP.3.3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SMB-Freigaben sind dokumentiert mit Zweck, Verantwortlichem und Berechtigungs-Konzept.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ITscanner: Tab 'Freigaben' listet Shares + ACL je Host.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9.2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APP.3.3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Berechtigungen folgen dem Need-to-Know-Prinzip; 'Jeder' / 'Authenticated Users' Vollzugriff ist die Ausnahme.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9.3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APP.3.3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NFS-Shares werden ebenfalls inventarisiert und sind nicht unbeschränkt zugänglich (no_root_squash, *).</w:t>
            </w:r>
          </w:p>
          <w:p>
            <w:pPr>
              <w:spacing w:before="60"/>
            </w:pPr>
            <w:r>
              <w:rPr>
                <w:i/>
                <w:iCs/>
                <w:color w:val="00aac2"/>
                <w:sz w:val="18"/>
                <w:szCs w:val="18"/>
              </w:rPr>
              <w:t xml:space="preserve">ITscanner v2.08.11+: NFS-Detection für Linux-Hosts.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9.4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APP.3.3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Quotas verhindern das Volllaufen von Datei-Servern durch einzelne User.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pPr>
        <w:pStyle w:val="Heading2"/>
        <w:spacing w:after="120" w:before="360"/>
      </w:pPr>
      <w:r>
        <w:rPr>
          <w:b/>
          <w:bCs/>
        </w:rPr>
        <w:t xml:space="preserve">10. Notfallvorsorge (DER.4)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200"/>
        <w:gridCol w:w="5400"/>
        <w:gridCol w:w="700"/>
        <w:gridCol w:w="700"/>
        <w:gridCol w:w="760"/>
      </w:tblGrid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BSI-Baustein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Prüfpunkt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Ja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Teilw.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00AAC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Nein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10.1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DER.4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Es existiert ein schriftliches Notfallhandbuch (Wer ruft wen an? Wo liegen Backup-Tapes? Wie wird das System wiederhergestellt?).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10.2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DER.4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Notfallkontakte (intern, externe Dienstleister, BSI/CERT) sind aktuell und allen Schlüsselpersonen bekannt.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10.3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DER.4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Mindestens jährlich findet eine Notfallübung statt (Tabletop oder echtes Failover).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  <w:tr>
        <w:tc>
          <w:tcPr>
            <w:tcW w:type="dxa" w:w="6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10.4</w:t>
            </w:r>
          </w:p>
        </w:tc>
        <w:tc>
          <w:tcPr>
            <w:tcW w:type="dxa" w:w="12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DER.4</w:t>
            </w:r>
          </w:p>
        </w:tc>
        <w:tc>
          <w:tcPr>
            <w:tcW w:type="dxa" w:w="54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Eine Cyber-Versicherung ist abgeschlossen oder ein bewusster Verzicht ist dokumentiert.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J</w:t>
            </w:r>
          </w:p>
        </w:tc>
        <w:tc>
          <w:tcPr>
            <w:tcW w:type="dxa" w:w="70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T</w:t>
            </w:r>
          </w:p>
        </w:tc>
        <w:tc>
          <w:tcPr>
            <w:tcW w:type="dxa" w:w="7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☐ 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Auswertung &amp; nächste Schritte</w:t>
      </w:r>
    </w:p>
    <w:p>
      <w:r>
        <w:rPr>
          <w:sz w:val="22"/>
          <w:szCs w:val="22"/>
        </w:rPr>
        <w:t xml:space="preserve">Zählen Sie die ‚Nein'- und ‚Teilweise'-Antworten und priorisieren Sie nach Risiko (vertrauliche Daten, Verfügbarkeit, gesetzliche Pflichten).</w:t>
      </w:r>
    </w:p>
    <w:p>
      <w:pPr>
        <w:pStyle w:val="Heading2"/>
      </w:pPr>
      <w:r>
        <w:t xml:space="preserve">Empfohlene Reihenfolge der Umsetzung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Quick Wins (≤ 1 Tag): MFA für Admin-Konten, RDP aus dem Internet schließen, EOL-Systeme identifizieren, Backup-Restore-Test durchspielen.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Mittelfristig (1-3 Monate): Vollständige Inventarisierung (Hardware + Software + Lizenzen), Patch-Prozess etablieren, Berechtigungs-Audit auf Datei-Servern.</w:t>
      </w:r>
    </w:p>
    <w:p>
      <w:pPr>
        <w:pStyle w:val="ListParagraph"/>
        <w:numPr>
          <w:ilvl w:val="0"/>
          <w:numId w:val="2"/>
        </w:numPr>
      </w:pPr>
      <w:r>
        <w:rPr>
          <w:sz w:val="22"/>
          <w:szCs w:val="22"/>
        </w:rPr>
        <w:t xml:space="preserve">Strategisch (6-12 Monate): ISMS-Struktur aufbauen, Notfallhandbuch erstellen und proben, Cyber-Versicherung verhandeln, ggf. ISO-27001-Vorprojekt.</w:t>
      </w:r>
    </w:p>
    <w:p>
      <w:pPr>
        <w:pStyle w:val="Heading2"/>
      </w:pPr>
      <w:r>
        <w:t xml:space="preserve">Inventarisierung automatisieren – mit ITscanner</w:t>
      </w:r>
    </w:p>
    <w:p>
      <w:r>
        <w:rPr>
          <w:sz w:val="22"/>
          <w:szCs w:val="22"/>
        </w:rPr>
        <w:t xml:space="preserve">Etwa 25 der 60 Prüfpunkte oben (Hardware-Inventar, Software-Stand, AD-Audit, Lizenzen, Server-Rollen, SMB- und NFS-Freigaben, EOL-Erkennung) liefert ITscanner automatisch aus einem 30-Minuten-Scan. Der eingebaute BSI-Grundschutz-Bericht weist Sie direkt auf offene Punkte hin (EOL-OS, offene RDP-Ports, fehlende Backup-Software, nur 1 Domain-Controller, alte Lizenz-Aktivierungen).</w:t>
      </w:r>
    </w:p>
    <w:p>
      <w:r>
        <w:rPr>
          <w:sz w:val="22"/>
          <w:szCs w:val="22"/>
        </w:rPr>
        <w:t xml:space="preserve">Flat-Rate-Lizenz: 49,50 € netto/Jahr — egal wie viele Geräte. Lokal, ohne Cloud, DSGVO-konform. 14 Tage kostenlos testen ohne Kreditkarte: </w:t>
      </w:r>
      <w:hyperlink w:history="1" r:id="rId1tpi6wcp6czczbsi3_llw">
        <w:r>
          <w:rPr>
            <w:color w:val="00aac2"/>
            <w:sz w:val="22"/>
            <w:szCs w:val="22"/>
            <w:u w:val="single"/>
          </w:rPr>
          <w:t xml:space="preserve">itnetwork-docu.com</w:t>
        </w:r>
      </w:hyperlink>
    </w:p>
    <w:p>
      <w:pPr>
        <w:pStyle w:val="Heading2"/>
      </w:pPr>
      <w:r>
        <w:t xml:space="preserve">Quellen &amp; Weiterführendes</w:t>
      </w:r>
    </w:p>
    <w:p>
      <w:pPr>
        <w:pStyle w:val="ListParagraph"/>
        <w:numPr>
          <w:ilvl w:val="0"/>
          <w:numId w:val="2"/>
        </w:numPr>
      </w:pPr>
      <w:hyperlink w:history="1" r:id="rIdzdayws0ypvk1fogwgg38n">
        <w:r>
          <w:rPr>
            <w:color w:val="00aac2"/>
            <w:sz w:val="22"/>
            <w:szCs w:val="22"/>
            <w:u w:val="single"/>
          </w:rPr>
          <w:t xml:space="preserve">BSI IT-Grundschutz-Kompendium (offizielle Quelle)</w:t>
        </w:r>
      </w:hyperlink>
    </w:p>
    <w:p>
      <w:pPr>
        <w:pStyle w:val="ListParagraph"/>
        <w:numPr>
          <w:ilvl w:val="0"/>
          <w:numId w:val="2"/>
        </w:numPr>
      </w:pPr>
      <w:hyperlink w:history="1" r:id="rIdqdhhjtsje0pcvh9yyrxcu">
        <w:r>
          <w:rPr>
            <w:color w:val="00aac2"/>
            <w:sz w:val="22"/>
            <w:szCs w:val="22"/>
            <w:u w:val="single"/>
          </w:rPr>
          <w:t xml:space="preserve">BSI IT-Grundschutz Edition 2023 (PDF)</w:t>
        </w:r>
      </w:hyperlink>
    </w:p>
    <w:p>
      <w:pPr>
        <w:pStyle w:val="ListParagraph"/>
        <w:numPr>
          <w:ilvl w:val="0"/>
          <w:numId w:val="2"/>
        </w:numPr>
      </w:pPr>
      <w:hyperlink w:history="1" r:id="rIdwonrrft74ytabtd-k0rwf">
        <w:r>
          <w:rPr>
            <w:color w:val="00aac2"/>
            <w:sz w:val="22"/>
            <w:szCs w:val="22"/>
            <w:u w:val="single"/>
          </w:rPr>
          <w:t xml:space="preserve">ITscanner vs. Docusnap &amp; Co. — Vergleich</w:t>
        </w:r>
      </w:hyperlink>
    </w:p>
    <w:p>
      <w:pPr>
        <w:pStyle w:val="ListParagraph"/>
        <w:numPr>
          <w:ilvl w:val="0"/>
          <w:numId w:val="2"/>
        </w:numPr>
      </w:pPr>
      <w:hyperlink w:history="1" r:id="rId4kxysiizd5xx-o8fbkxch">
        <w:r>
          <w:rPr>
            <w:color w:val="00aac2"/>
            <w:sz w:val="22"/>
            <w:szCs w:val="22"/>
            <w:u w:val="single"/>
          </w:rPr>
          <w:t xml:space="preserve">ITscanner kostenlos herunterladen (Windows + Linux)</w:t>
        </w:r>
      </w:hyperlink>
    </w:p>
    <w:p>
      <w:pPr>
        <w:spacing w:before="400"/>
      </w:pPr>
      <w:r>
        <w:rPr>
          <w:i/>
          <w:iCs/>
          <w:color w:val="666666"/>
          <w:sz w:val="18"/>
          <w:szCs w:val="18"/>
        </w:rPr>
        <w:t xml:space="preserve">Diese Checkliste darf weitergegeben, ausgedruckt und für nicht-kommerzielle Audits intern genutzt werden. Eine Veröffentlichung mit Markenkennzeichnung 'ITscanner' bzw. 'Sat-iTec Systemhaus' ist nur mit unserer Quellenangabe gestattet.</w:t>
      </w:r>
    </w:p>
    <w:sectPr>
      <w:headerReference w:type="default" r:id="rId7"/>
      <w:footerReference w:type="default" r:id="rId8"/>
      <w:pgSz w:w="11906" w:h="16838" w:orient="portrait"/>
      <w:pgMar w:top="108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88888"/>
        <w:sz w:val="16"/>
        <w:szCs w:val="16"/>
      </w:rPr>
      <w:t xml:space="preserve">© 2026 Sat-iTec Systemhaus GmbH · </w:t>
    </w:r>
    <w:hyperlink w:history="1" r:id="rIdhkzzl_etfvmzbn4pc6qqm">
      <w:r>
        <w:rPr>
          <w:color w:val="00aac2"/>
          <w:sz w:val="16"/>
          <w:szCs w:val="16"/>
        </w:rPr>
        <w:t xml:space="preserve">itnetwork-docu.com</w:t>
      </w:r>
    </w:hyperlink>
    <w:r>
      <w:rPr>
        <w:color w:val="888888"/>
        <w:sz w:val="16"/>
        <w:szCs w:val="16"/>
      </w:rPr>
      <w:t xml:space="preserve">	Seite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8"/>
        <w:szCs w:val="18"/>
      </w:rPr>
      <w:t xml:space="preserve">BSI-Grundschutz-Checkliste · ITscanner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Calibri" w:cs="Calibri" w:eastAsia="Calibri" w:hAnsi="Calibri"/>
      <w:b/>
      <w:bCs/>
      <w:color w:val="00aac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Calibri" w:cs="Calibri" w:eastAsia="Calibri" w:hAnsi="Calibri"/>
      <w:b/>
      <w:bCs/>
      <w:color w:val="1A1A1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Calibri" w:cs="Calibri" w:eastAsia="Calibri" w:hAnsi="Calibri"/>
      <w:b/>
      <w:bC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esvk54v7ircjthpdfvieu" Type="http://schemas.openxmlformats.org/officeDocument/2006/relationships/hyperlink" Target="https://itnetwork-docu.com" TargetMode="External"/><Relationship Id="rIdohaha6q1isaultw0yguqq" Type="http://schemas.openxmlformats.org/officeDocument/2006/relationships/hyperlink" Target="https://itnetwork-docu.com" TargetMode="External"/><Relationship Id="rId1tpi6wcp6czczbsi3_llw" Type="http://schemas.openxmlformats.org/officeDocument/2006/relationships/hyperlink" Target="https://itnetwork-docu.com" TargetMode="External"/><Relationship Id="rIdzdayws0ypvk1fogwgg38n" Type="http://schemas.openxmlformats.org/officeDocument/2006/relationships/hyperlink" Target="https://www.bsi.bund.de/DE/Themen/Unternehmen-und-Organisationen/Standards-und-Zertifizierung/IT-Grundschutz/it-grundschutz_node.html" TargetMode="External"/><Relationship Id="rIdqdhhjtsje0pcvh9yyrxcu" Type="http://schemas.openxmlformats.org/officeDocument/2006/relationships/hyperlink" Target="https://www.bsi.bund.de/SharedDocs/Downloads/DE/BSI/Grundschutz/Kompendium/IT_Grundschutz_Kompendium_Edition2023.pdf" TargetMode="External"/><Relationship Id="rIdwonrrft74ytabtd-k0rwf" Type="http://schemas.openxmlformats.org/officeDocument/2006/relationships/hyperlink" Target="https://itnetwork-docu.com/vergleich/" TargetMode="External"/><Relationship Id="rId4kxysiizd5xx-o8fbkxch" Type="http://schemas.openxmlformats.org/officeDocument/2006/relationships/hyperlink" Target="https://itnetwork-docu.com/download/" TargetMode="External"/><Relationship Id="rId16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hkzzl_etfvmzbn4pc6qqm" Type="http://schemas.openxmlformats.org/officeDocument/2006/relationships/hyperlink" Target="https://itnetwork-docu.com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BSI-Grundschutz-Checkliste</dc:title>
  <dc:creator>Sat-iTec Systemhaus GmbH</dc:creator>
  <dc:description>Audit-Checkliste basierend auf BSI IT-Grundschutz-Kompendium</dc:description>
  <cp:lastModifiedBy>Un-named</cp:lastModifiedBy>
  <cp:revision>1</cp:revision>
  <dcterms:created xsi:type="dcterms:W3CDTF">2026-05-07T08:06:57.341Z</dcterms:created>
  <dcterms:modified xsi:type="dcterms:W3CDTF">2026-05-07T08:06:57.341Z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