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b/>
          <w:bCs/>
          <w:color w:val="0F3D5C"/>
          <w:sz w:val="56"/>
          <w:szCs w:val="56"/>
        </w:rPr>
        <w:t xml:space="preserve">IT-Network DocuScanner</w:t>
      </w:r>
    </w:p>
    <w:p>
      <w:pPr>
        <w:spacing w:after="120"/>
        <w:jc w:val="center"/>
      </w:pPr>
      <w:r>
        <w:rPr>
          <w:color w:val="606060"/>
          <w:sz w:val="36"/>
          <w:szCs w:val="36"/>
        </w:rPr>
        <w:t xml:space="preserve">Anleitung Version 2.12.4</w:t>
      </w:r>
    </w:p>
    <w:p>
      <w:pPr>
        <w:spacing w:after="480"/>
        <w:jc w:val="center"/>
      </w:pPr>
      <w:r>
        <w:rPr>
          <w:color w:val="808080"/>
          <w:sz w:val="24"/>
          <w:szCs w:val="24"/>
        </w:rPr>
        <w:t xml:space="preserve">Sat-iTec Systemhaus GmbH · Mai 2026</w:t>
      </w:r>
    </w:p>
    <w:p>
      <w:pPr>
        <w:pStyle w:val="Heading1"/>
        <w:spacing w:after="120" w:before="240"/>
      </w:pPr>
      <w:r>
        <w:t xml:space="preserve">1. Was ist der IT-Network DocuScanner?</w:t>
      </w:r>
    </w:p>
    <w:p>
      <w:pPr>
        <w:spacing w:after="120"/>
      </w:pPr>
      <w:r>
        <w:t xml:space="preserve">Der IT-Network DocuScanner ist eine vollautomatische On-Premise-Loesung zur Inventarisierung und Schwachstellen-Analyse von Windows- und Linux-Netzwerken. Statt manuell durch Active Directory zu klicken, Subnetze auszuwerten oder Excel-Listen zu pflegen, scannt das Tool autark im Hintergrund und liefert eine durchsuchbare, BSI-konforme Dokumentation Ihrer gesamten IT-Landschaft.</w:t>
      </w:r>
    </w:p>
    <w:p>
      <w:pPr>
        <w:spacing w:after="120"/>
      </w:pPr>
      <w:r>
        <w:t xml:space="preserve">Alle Daten bleiben auf dem Kunden-Server. Es gibt keine Cloud-Pflicht, keine externen Telemetrie-Calls, keine Lizenz-Phone-Home zu Drittanbietern.</w:t>
      </w:r>
    </w:p>
    <w:p>
      <w:pPr>
        <w:pStyle w:val="Heading2"/>
        <w:spacing w:after="120" w:before="240"/>
      </w:pPr>
      <w:r>
        <w:t xml:space="preserve">1.1 Komponenten ab v2.12.4</w:t>
      </w:r>
    </w:p>
    <w:p>
      <w:pPr>
        <w:spacing w:after="120"/>
      </w:pPr>
      <w:r>
        <w:t xml:space="preserve">Ab v2.12.0 besteht die Installation aus drei selbstaendigen Windows-Diensten (auf Linux: drei systemd-Units):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ITScannerDashboard — Web-Oberflaeche, REST-API, Datenbank-Manager (Port 8585)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ITNetworkScanner — Discovery-Engine fuer AD, Subnetze, Shares, Software (lokal/remote)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ITScannerCVE — CISA-KEV + NVD + EPSS-Sync und Schwachstellen-Matching (Port 8586, loopback)</w:t>
      </w:r>
    </w:p>
    <w:p>
      <w:pPr>
        <w:pStyle w:val="Heading1"/>
        <w:spacing w:after="120" w:before="240"/>
      </w:pPr>
      <w:r>
        <w:t xml:space="preserve">2. Installation</w:t>
      </w:r>
    </w:p>
    <w:p>
      <w:pPr>
        <w:pStyle w:val="Heading2"/>
        <w:spacing w:after="120" w:before="240"/>
      </w:pPr>
      <w:r>
        <w:t xml:space="preserve">2.1 Windows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Setup-v2.12.4.exe als Administrator starten.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Setup beendet die alten Dienste, installiert nach C:\Program Files\Sat-iTec\ITScanner und legt die drei Dienste neu an.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Standard-URL nach Install: http://localhost:8585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Beim ersten Aufruf wird das Admin-Login angelegt — Standard-Username admin, frei zu vergebendes Passwort (mindestens 12 Zeichen).</w:t>
      </w:r>
    </w:p>
    <w:p>
      <w:pPr>
        <w:pStyle w:val="Heading2"/>
        <w:spacing w:after="120" w:before="240"/>
      </w:pPr>
      <w:r>
        <w:t xml:space="preserve">2.2 Linux (Debian/Ubuntu)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sudo dpkg -i itscanner-server_2.12.4_amd64.deb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sudo systemctl enable --now itscanner itscanner-cve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Browser auf http://server-ip:8585</w:t>
      </w:r>
    </w:p>
    <w:p>
      <w:pPr>
        <w:pStyle w:val="Heading2"/>
        <w:spacing w:after="120" w:before="240"/>
      </w:pPr>
      <w:r>
        <w:t xml:space="preserve">2.3 Linux (manuell, tar.gz)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tar -xzf itscanner-linux-amd64-v2.12.4.tar.gz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cd linux/ &amp;&amp; ./start-server.sh</w:t>
      </w:r>
    </w:p>
    <w:p>
      <w:pPr>
        <w:pStyle w:val="Heading1"/>
        <w:spacing w:after="120" w:before="240"/>
      </w:pPr>
      <w:r>
        <w:t xml:space="preserve">3. Trial-Lock und Lizenz</w:t>
      </w:r>
    </w:p>
    <w:p>
      <w:pPr>
        <w:spacing w:after="120"/>
      </w:pPr>
      <w:r>
        <w:t xml:space="preserve">Ab v2.11.0 gilt eine harte 14-Tage-Trial-Phase. Ohne gueltige Lizenz nach Tag 14 reagiert die API mit HTTP 402 (Payment Required) und das Dashboard zeigt eine Bezahl-Pflicht-Sperre. Die Lizenz-Pflicht ist gegen Manipulation gesichert ueber Triple-Persistenz: Datenbank, .install.lock-Datei (SHA256+Salt) und Windows-Registry — Faelschungsversuche werden erkannt und blockieren die Dienste.</w:t>
      </w:r>
    </w:p>
    <w:p>
      <w:pPr>
        <w:spacing w:after="120"/>
      </w:pPr>
      <w:r>
        <w:t xml:space="preserve">Eine Lizenz kann ueber https://www.itnetwork-docu.com/pricing/ bestellt werden — 49,50 EUR netto pro Jahr, automatische Verlaengerung nach 12 Monaten.</w:t>
      </w:r>
    </w:p>
    <w:p>
      <w:pPr>
        <w:pStyle w:val="Heading1"/>
        <w:spacing w:after="120" w:before="240"/>
      </w:pPr>
      <w:r>
        <w:t xml:space="preserve">4. Scan durchfuehren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Im Dashboard auf den Tab 'Scan' wechseln.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Domain-Credentials hinterlegen (werden im Credential-Vault AES-256-verschluesselt gespeichert).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Subnetz-Range eingeben oder 'auto-derive' aktivieren — der Scanner leitet die Subnetze aus den Default-Gateways der bekannten Hosts ab.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'Scan starten' druecken — Fortschritt ist live in der UI sichtbar.</w:t>
      </w:r>
    </w:p>
    <w:p>
      <w:pPr>
        <w:pStyle w:val="Heading2"/>
        <w:spacing w:after="120" w:before="240"/>
      </w:pPr>
      <w:r>
        <w:t xml:space="preserve">4.1 Was wird gescannt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Active Directory: User, Gruppen, OUs, Computer-Objekte, Group Policies (mit GPMC), member_of-Relationen.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Subnetze: Ping-Sweep, Reverse-DNS, ARP-Tabelle, Routing-Info.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Software-Inventar: WMI/CIM-DCOM, RemoteRegistry-Fallback fuer Workgroup-Hosts, OS-Vollbezeichnung.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Server-Rollen: Win32_ServerFeature auf Windows-Servern (eigener Tab).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Freigaben: SMB-Shares, NFS-Detection ab Port 2049/445 (Windows benoetigt 'Services for NFS').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Schwachstellen: kontinuierliches Matching gegen CISA-KEV, NVD und EPSS — siehe Kapitel 6.</w:t>
      </w:r>
    </w:p>
    <w:p>
      <w:pPr>
        <w:pStyle w:val="Heading1"/>
        <w:spacing w:after="120" w:before="240"/>
      </w:pPr>
      <w:r>
        <w:t xml:space="preserve">5. BSI-Hardening und Compliance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Dynamische BSI-Checks: aus den eingelesenen DB-Daten leitet das Tool den Konformitaets-Status fuer typische BSI-IT-Grundschutz-Bausteine ab.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Drift-Monitoring: jede Aenderung im Inventar wird mit Zeitstempel und Diff dokumentiert (Compliance-Wache).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Audit-Log: jeder Login, jeder Scan, jede Konfigurationsaenderung ist nachvollziehbar — DSGVO-Auskunfts-API enthalten.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MFA via TOTP-App (Google Authenticator, Microsoft Authenticator, FreeOTP) optional aktivierbar.</w:t>
      </w:r>
    </w:p>
    <w:p>
      <w:pPr>
        <w:pStyle w:val="Heading1"/>
        <w:spacing w:after="120" w:before="240"/>
      </w:pPr>
      <w:r>
        <w:t xml:space="preserve">6. Schwachstellen-Scanner (CVE-Worker)</w:t>
      </w:r>
    </w:p>
    <w:p>
      <w:pPr>
        <w:spacing w:after="120"/>
      </w:pPr>
      <w:r>
        <w:t xml:space="preserve">Der CVE-Worker laeuft als eigener Windows-Dienst (ITScannerCVE) und synchronisiert taeglich automatisch: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CISA Known Exploited Vulnerabilities (KEV) — aktuell ausgenutzte Schwachstellen.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NVD — National Vulnerability Database der NIST (CVSS-Scores).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EPSS — Exploit Prediction Scoring System (Wahrscheinlichkeit einer Ausnutzung in den naechsten 30 Tagen).</w:t>
      </w:r>
    </w:p>
    <w:p>
      <w:pPr>
        <w:spacing w:after="120"/>
      </w:pPr>
      <w:r>
        <w:t xml:space="preserve">Das Matching gegen das lokale Software-Inventar erfolgt nach jeder Sync- bzw. Scan-Runde.</w:t>
      </w:r>
    </w:p>
    <w:p>
      <w:pPr>
        <w:pStyle w:val="Heading2"/>
        <w:spacing w:after="120" w:before="240"/>
      </w:pPr>
      <w:r>
        <w:t xml:space="preserve">6.1 Neuerungen in v2.12.4</w:t>
      </w:r>
    </w:p>
    <w:p>
      <w:pPr>
        <w:spacing w:after="100"/>
      </w:pPr>
      <w:r>
        <w:rPr>
          <w:b/>
          <w:bCs/>
        </w:rPr>
        <w:t xml:space="preserve">Host-Namen statt nur IDs</w:t>
      </w:r>
    </w:p>
    <w:p>
      <w:pPr>
        <w:spacing w:after="120"/>
      </w:pPr>
      <w:r>
        <w:t xml:space="preserve">Im Schwachstellen-Tab zeigt die Tabelle jetzt den DNS-Namen (oder NetBIOS-Namen) statt der numerischen host_id. Wer Operating ist sieht direkt welcher Rechner ein Problem hat.</w:t>
      </w:r>
    </w:p>
    <w:p>
      <w:pPr>
        <w:spacing w:after="100"/>
      </w:pPr>
      <w:r>
        <w:rPr>
          <w:b/>
          <w:bCs/>
        </w:rPr>
        <w:t xml:space="preserve">Auto-Fix fuer geschlossene Findings</w:t>
      </w:r>
    </w:p>
    <w:p>
      <w:pPr>
        <w:spacing w:after="120"/>
      </w:pPr>
      <w:r>
        <w:t xml:space="preserve">Findet ein Match-Cycle eine CVE-x-Software-Kombi nicht mehr (weil die Software gepatched oder deinstalliert wurde), wird das Finding automatisch mit fixed_at = Zeitstempel geschlossen. Vorher mussten geschlossene CVEs manuell quittiert werden.</w:t>
      </w:r>
    </w:p>
    <w:p>
      <w:pPr>
        <w:spacing w:after="100"/>
      </w:pPr>
      <w:r>
        <w:rPr>
          <w:b/>
          <w:bCs/>
        </w:rPr>
        <w:t xml:space="preserve">Versions-Range-Check</w:t>
      </w:r>
    </w:p>
    <w:p>
      <w:pPr>
        <w:spacing w:after="120"/>
      </w:pPr>
      <w:r>
        <w:t xml:space="preserve">Eine KEV-Entry 'Microsoft Office 2010' matcht jetzt nur noch Office 2010, nicht mehr alle Office-Versionen. Die Versions-Komponente wird aus dem product-Feld via Regex extrahiert (Jahres- oder Versionsnummer) und muss exakt uebereinstimmen. False-Positives-Reduktion typischerweise um Faktor 10.</w:t>
      </w:r>
    </w:p>
    <w:p>
      <w:pPr>
        <w:spacing w:after="100"/>
      </w:pPr>
      <w:r>
        <w:rPr>
          <w:b/>
          <w:bCs/>
        </w:rPr>
        <w:t xml:space="preserve">Sync-Status-Reset</w:t>
      </w:r>
    </w:p>
    <w:p>
      <w:pPr>
        <w:spacing w:after="120"/>
      </w:pPr>
      <w:r>
        <w:t xml:space="preserve">Wenn die CVE-DB existiert aber der Sync-Status leer ist (z.B. nach einer DB-Restore), wird der Status-Eintrag automatisch rekonstruiert. Sync-Buttons werden nicht mehr faelschlich gesperrt.</w:t>
      </w:r>
    </w:p>
    <w:p>
      <w:pPr>
        <w:spacing w:after="100"/>
      </w:pPr>
      <w:r>
        <w:rPr>
          <w:b/>
          <w:bCs/>
        </w:rPr>
        <w:t xml:space="preserve">Severity-Mix korrekt</w:t>
      </w:r>
    </w:p>
    <w:p>
      <w:pPr>
        <w:spacing w:after="120"/>
      </w:pPr>
      <w:r>
        <w:t xml:space="preserve">KEV-Eintraege mit knownRansomwareCampaignUse=Known werden als 'kritisch' eingestuft, alle anderen als 'hoch'. Im UI erscheint jetzt der Mix kritisch + hoch statt nur hoch.</w:t>
      </w:r>
    </w:p>
    <w:p>
      <w:pPr>
        <w:pStyle w:val="Heading1"/>
        <w:spacing w:after="120" w:before="240"/>
      </w:pPr>
      <w:r>
        <w:t xml:space="preserve">7. MSP-Funktionen (optional)</w:t>
      </w:r>
    </w:p>
    <w:p>
      <w:pPr>
        <w:spacing w:after="120"/>
      </w:pPr>
      <w:r>
        <w:t xml:space="preserve">Fuer Managed Service Provider und mehrstandort-Betreiber bringt v2.09.0 ein integriertes MSP-Pairing: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Pairing-Code im Kunden-Dashboard erzeugen, beim MSP-Hub eintragen — fertig.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Verschluesselter Reverse-Tunnel via ed25519-Keypair, kein offener eingehender Port noetig.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MSP-Console sieht alle Kunden auf einer Karte, kann Schwachstellen-Reports erstellen und Alerts konsolidieren.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High-Availability-Setup Augsburg-Bollnaes (Deutschland-Schweden-Failover) verfuegbar — siehe Trust-Center.</w:t>
      </w:r>
    </w:p>
    <w:p>
      <w:pPr>
        <w:pStyle w:val="Heading1"/>
        <w:spacing w:after="120" w:before="240"/>
      </w:pPr>
      <w:r>
        <w:t xml:space="preserve">8. Pulse-Monitor und Wiki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Pulse: Live Up/Down-Monitoring fuer alle bekannten Hosts mit Latenz-Trends.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Wiki: integrierte Dokumentations-Plattform, jede Host-Seite kann mit Free-Text-Notes, Bildern und Schluessel-Wert-Listen angereichert werden.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Vault: AES-256-verschluesselter Credential-Speicher fuer Scan-Credentials und beliebige Geheimnisse.</w:t>
      </w:r>
    </w:p>
    <w:p>
      <w:pPr>
        <w:pStyle w:val="Heading1"/>
        <w:spacing w:after="120" w:before="240"/>
      </w:pPr>
      <w:r>
        <w:t xml:space="preserve">9. Tray-Icon und Updates</w:t>
      </w:r>
    </w:p>
    <w:p>
      <w:pPr>
        <w:spacing w:after="120"/>
      </w:pPr>
      <w:r>
        <w:t xml:space="preserve">Auf Windows zeigt ein Tray-Icon den Dienst-Status. Linksklick oeffnet das Dashboard, Rechtsklick bietet 'Dashboard oeffnen', 'Dienst neustarten' und 'Beenden'.</w:t>
      </w:r>
    </w:p>
    <w:p>
      <w:pPr>
        <w:spacing w:after="120"/>
      </w:pPr>
      <w:r>
        <w:t xml:space="preserve">Updates werden automatisch via GitHub-Release-Channel erkannt. Im Tab 'Einstellungen / Updates und Lizenz' kann mit einem Klick das neueste Setup heruntergeladen und installiert werden — Dienste werden sauber gestoppt, ueberschrieben und neu gestartet.</w:t>
      </w:r>
    </w:p>
    <w:p>
      <w:pPr>
        <w:pStyle w:val="Heading1"/>
        <w:spacing w:after="120" w:before="240"/>
      </w:pPr>
      <w:r>
        <w:t xml:space="preserve">10. Support und Updates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Webseite: https://www.itnetwork-docu.com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E-Mail: support@sat-itec.de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Online-Anleitung und Changelog: https://www.itnetwork-docu.com/anleitung/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Sicherheits-Issues vertraulich an security@sat-itec.de — PGP-Key auf der Webseite.</w:t>
      </w:r>
    </w:p>
    <w:p>
      <w:pPr>
        <w:pStyle w:val="Heading1"/>
        <w:spacing w:after="120" w:before="240"/>
      </w:pPr>
      <w:r>
        <w:t xml:space="preserve">Anhang A: Aenderungsverlauf v2.12.x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7760"/>
      </w:tblGrid>
      <w:tr>
        <w:trPr>
          <w:tblHeader/>
        </w:trPr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0F3D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Version</w:t>
            </w:r>
          </w:p>
        </w:tc>
        <w:tc>
          <w:tcPr>
            <w:tcW w:type="dxa" w:w="7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0F3D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Aenderungen</w:t>
            </w:r>
          </w:p>
        </w:tc>
      </w:tr>
      <w:tr>
        <w:trPr>
          <w:tblHeader w:val="false"/>
        </w:trPr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2.12.4</w:t>
            </w:r>
          </w:p>
        </w:tc>
        <w:tc>
          <w:tcPr>
            <w:tcW w:type="dxa" w:w="7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Host-Namen-Anzeige, Auto-Fix, Versions-Range-Check, Sync-Status-Reset, UNIQUE-Index Migration</w:t>
            </w:r>
          </w:p>
        </w:tc>
      </w:tr>
      <w:tr>
        <w:trPr>
          <w:tblHeader w:val="false"/>
        </w:trPr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2.12.3</w:t>
            </w:r>
          </w:p>
        </w:tc>
        <w:tc>
          <w:tcPr>
            <w:tcW w:type="dxa" w:w="7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DB-Lock-Fix via _pragma()-DSN-Format, asymmetric IsAvailable-Cache, Severity-Mix critical+high</w:t>
            </w:r>
          </w:p>
        </w:tc>
      </w:tr>
      <w:tr>
        <w:trPr>
          <w:tblHeader w:val="false"/>
        </w:trPr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2.12.2</w:t>
            </w:r>
          </w:p>
        </w:tc>
        <w:tc>
          <w:tcPr>
            <w:tcW w:type="dxa" w:w="7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Dashboard-Proxy fuer /api/vulnscan/* zum CVE-Worker</w:t>
            </w:r>
          </w:p>
        </w:tc>
      </w:tr>
      <w:tr>
        <w:trPr>
          <w:tblHeader w:val="false"/>
        </w:trPr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2.12.1</w:t>
            </w:r>
          </w:p>
        </w:tc>
        <w:tc>
          <w:tcPr>
            <w:tcW w:type="dxa" w:w="7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WAL-Mode-Verify, _txlock=immediate entfernt</w:t>
            </w:r>
          </w:p>
        </w:tc>
      </w:tr>
      <w:tr>
        <w:trPr>
          <w:tblHeader w:val="false"/>
        </w:trPr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2.12.0</w:t>
            </w:r>
          </w:p>
        </w:tc>
        <w:tc>
          <w:tcPr>
            <w:tcW w:type="dxa" w:w="7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CVE-Worker als eigener Dienst (ITScannerCVE), eigene cve.db, KEV+NVD+EPSS-Sync</w:t>
            </w:r>
          </w:p>
        </w:tc>
      </w:tr>
      <w:tr>
        <w:trPr>
          <w:tblHeader w:val="false"/>
        </w:trPr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2.11.2</w:t>
            </w:r>
          </w:p>
        </w:tc>
        <w:tc>
          <w:tcPr>
            <w:tcW w:type="dxa" w:w="7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Sidebar-Badges, Service-Mode-Race-Fix mit Health-Probe</w:t>
            </w:r>
          </w:p>
        </w:tc>
      </w:tr>
      <w:tr>
        <w:trPr>
          <w:tblHeader w:val="false"/>
        </w:trPr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2.11.1</w:t>
            </w:r>
          </w:p>
        </w:tc>
        <w:tc>
          <w:tcPr>
            <w:tcW w:type="dxa" w:w="7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Login-Form Hotfix, statische Felder</w:t>
            </w:r>
          </w:p>
        </w:tc>
      </w:tr>
      <w:tr>
        <w:trPr>
          <w:tblHeader w:val="false"/>
        </w:trPr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2.11.0</w:t>
            </w:r>
          </w:p>
        </w:tc>
        <w:tc>
          <w:tcPr>
            <w:tcW w:type="dxa" w:w="7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Trial-Lock 14 Tage hart, Triple-Persistenz-Lizenzpruefung</w:t>
            </w:r>
          </w:p>
        </w:tc>
      </w:tr>
      <w:tr>
        <w:trPr>
          <w:tblHeader w:val="false"/>
        </w:trPr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2.10.0</w:t>
            </w:r>
          </w:p>
        </w:tc>
        <w:tc>
          <w:tcPr>
            <w:tcW w:type="dxa" w:w="7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Senior-Quality-Hardening, Unit-Tests, CI/CD, Tray-Restart-after-Update</w:t>
            </w:r>
          </w:p>
        </w:tc>
      </w:tr>
      <w:tr>
        <w:trPr>
          <w:tblHeader w:val="false"/>
        </w:trPr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2.09.0</w:t>
            </w:r>
          </w:p>
        </w:tc>
        <w:tc>
          <w:tcPr>
            <w:tcW w:type="dxa" w:w="7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MSP-Pairing, Vault, Wiki, Pulse, Drift-Monitoring, MFA (TOTP), Vuln-Scanner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08080"/>
        <w:sz w:val="18"/>
        <w:szCs w:val="18"/>
      </w:rPr>
      <w:t xml:space="preserve">Sat-iTec Systemhaus GmbH  |  itnetwork-docu.com  |  Seite </w:t>
    </w:r>
    <w:r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808080"/>
        <w:sz w:val="18"/>
        <w:szCs w:val="18"/>
      </w:rPr>
      <w:t xml:space="preserve">IT-Network DocuScanner v2.12.4 — Anleitung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360"/>
      <w:outlineLvl w:val="0"/>
    </w:pPr>
    <w:rPr>
      <w:rFonts w:ascii="Arial" w:cs="Arial" w:eastAsia="Arial" w:hAnsi="Arial"/>
      <w:b/>
      <w:bCs/>
      <w:color w:val="0F3D5C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2026-05-15T04:45:24.501Z</dcterms:created>
  <dcterms:modified xsi:type="dcterms:W3CDTF">2026-05-15T04:45:24.502Z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